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4DA" w:rsidRDefault="0029263A">
      <w:pPr>
        <w:spacing w:line="560" w:lineRule="exact"/>
        <w:rPr>
          <w:rFonts w:ascii="FZXBSJW--GB1-0" w:eastAsia="黑体" w:hAnsi="FZXBSJW--GB1-0" w:hint="eastAsia"/>
          <w:color w:val="000000"/>
          <w:sz w:val="44"/>
          <w:szCs w:val="44"/>
        </w:rPr>
      </w:pPr>
      <w:r>
        <w:rPr>
          <w:rFonts w:ascii="黑体" w:eastAsia="黑体" w:hAnsi="黑体" w:hint="eastAsia"/>
          <w:color w:val="000000"/>
          <w:sz w:val="32"/>
          <w:szCs w:val="32"/>
        </w:rPr>
        <w:t>附件 2</w:t>
      </w:r>
      <w:r>
        <w:rPr>
          <w:rFonts w:ascii="黑体" w:eastAsia="黑体" w:hAnsi="黑体" w:hint="eastAsia"/>
          <w:color w:val="000000"/>
          <w:sz w:val="32"/>
          <w:szCs w:val="32"/>
        </w:rPr>
        <w:br/>
      </w:r>
    </w:p>
    <w:p w:rsidR="00AA04DA" w:rsidRDefault="0029263A">
      <w:pPr>
        <w:spacing w:line="560" w:lineRule="exact"/>
        <w:jc w:val="center"/>
        <w:rPr>
          <w:rFonts w:ascii="方正小标宋_GBK" w:eastAsia="方正小标宋_GBK" w:hAnsi="FZXBSJW--GB1-0" w:hint="eastAsia"/>
          <w:color w:val="000000"/>
          <w:sz w:val="44"/>
          <w:szCs w:val="44"/>
        </w:rPr>
      </w:pPr>
      <w:r>
        <w:rPr>
          <w:rFonts w:ascii="方正小标宋_GBK" w:eastAsia="方正小标宋_GBK" w:hAnsi="FZXBSJW--GB1-0" w:hint="eastAsia"/>
          <w:color w:val="000000"/>
          <w:sz w:val="44"/>
          <w:szCs w:val="44"/>
        </w:rPr>
        <w:t>预算绩效管理委托服务费用标准</w:t>
      </w:r>
    </w:p>
    <w:p w:rsidR="00AA04DA" w:rsidRDefault="00AA04DA">
      <w:pPr>
        <w:spacing w:line="560" w:lineRule="exact"/>
        <w:jc w:val="center"/>
        <w:rPr>
          <w:rFonts w:ascii="FZXBSJW--GB1-0" w:eastAsia="黑体" w:hAnsi="FZXBSJW--GB1-0" w:hint="eastAsia"/>
          <w:color w:val="000000"/>
          <w:sz w:val="44"/>
          <w:szCs w:val="44"/>
        </w:rPr>
      </w:pPr>
    </w:p>
    <w:p w:rsidR="00AA04DA" w:rsidRDefault="0029263A">
      <w:pPr>
        <w:spacing w:line="560" w:lineRule="exact"/>
        <w:ind w:firstLineChars="200" w:firstLine="640"/>
        <w:rPr>
          <w:rFonts w:ascii="仿宋_GB2312" w:eastAsia="仿宋_GB2312" w:hAnsi="FZXBSJW--GB1-0" w:hint="eastAsia"/>
          <w:color w:val="000000"/>
          <w:sz w:val="32"/>
          <w:szCs w:val="32"/>
        </w:rPr>
      </w:pPr>
      <w:r>
        <w:rPr>
          <w:rFonts w:ascii="仿宋_GB2312" w:eastAsia="仿宋_GB2312" w:hAnsi="FZXBSJW--GB1-0" w:hint="eastAsia"/>
          <w:color w:val="000000"/>
          <w:sz w:val="32"/>
          <w:szCs w:val="32"/>
        </w:rPr>
        <w:t>为规范第三方机构预算绩效管理服务收费行为，维护委托方、受托方的合法权益，结合我市实际，特制定本计费标准。</w:t>
      </w:r>
    </w:p>
    <w:p w:rsidR="00AA04DA" w:rsidRDefault="0029263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一、项目计费法计费标准</w:t>
      </w:r>
    </w:p>
    <w:p w:rsidR="00AA04DA" w:rsidRDefault="0029263A">
      <w:pPr>
        <w:spacing w:line="560" w:lineRule="exact"/>
        <w:ind w:firstLineChars="200" w:firstLine="640"/>
        <w:rPr>
          <w:rFonts w:ascii="FZXBSJW--GB1-0" w:eastAsia="黑体" w:hAnsi="FZXBSJW--GB1-0" w:hint="eastAsia"/>
          <w:color w:val="000000"/>
          <w:sz w:val="44"/>
          <w:szCs w:val="44"/>
        </w:rPr>
      </w:pPr>
      <w:r>
        <w:rPr>
          <w:rFonts w:ascii="仿宋_GB2312" w:eastAsia="仿宋_GB2312" w:hAnsi="黑体" w:hint="eastAsia"/>
          <w:color w:val="000000"/>
          <w:sz w:val="32"/>
          <w:szCs w:val="32"/>
        </w:rPr>
        <w:t>对于整体委托第三方机构开展</w:t>
      </w:r>
      <w:r>
        <w:rPr>
          <w:rFonts w:ascii="仿宋_GB2312" w:eastAsia="仿宋_GB2312" w:hAnsi="黑体"/>
          <w:color w:val="000000"/>
          <w:sz w:val="32"/>
          <w:szCs w:val="32"/>
        </w:rPr>
        <w:t>预算</w:t>
      </w:r>
      <w:r>
        <w:rPr>
          <w:rFonts w:ascii="仿宋_GB2312" w:eastAsia="仿宋_GB2312" w:hAnsi="黑体" w:hint="eastAsia"/>
          <w:color w:val="000000"/>
          <w:sz w:val="32"/>
          <w:szCs w:val="32"/>
        </w:rPr>
        <w:t>绩效</w:t>
      </w:r>
      <w:r>
        <w:rPr>
          <w:rFonts w:ascii="仿宋_GB2312" w:eastAsia="仿宋_GB2312" w:hAnsi="黑体"/>
          <w:color w:val="000000"/>
          <w:sz w:val="32"/>
          <w:szCs w:val="32"/>
        </w:rPr>
        <w:t>管理工作</w:t>
      </w:r>
      <w:r>
        <w:rPr>
          <w:rFonts w:ascii="仿宋_GB2312" w:eastAsia="仿宋_GB2312" w:hAnsi="黑体" w:hint="eastAsia"/>
          <w:color w:val="000000"/>
          <w:sz w:val="32"/>
          <w:szCs w:val="32"/>
        </w:rPr>
        <w:t>的项目，原则上采用项目计费法。依据委托项目的</w:t>
      </w:r>
      <w:r>
        <w:rPr>
          <w:rFonts w:ascii="仿宋_GB2312" w:eastAsia="仿宋_GB2312" w:hAnsi="黑体" w:hint="eastAsia"/>
          <w:bCs/>
          <w:color w:val="000000"/>
          <w:sz w:val="32"/>
          <w:szCs w:val="32"/>
        </w:rPr>
        <w:t>资金规模</w:t>
      </w:r>
      <w:r>
        <w:rPr>
          <w:rFonts w:ascii="仿宋_GB2312" w:eastAsia="仿宋_GB2312" w:hAnsi="黑体" w:hint="eastAsia"/>
          <w:color w:val="000000"/>
          <w:sz w:val="32"/>
          <w:szCs w:val="32"/>
        </w:rPr>
        <w:t>、分档计费费率和难度系数等因素。</w:t>
      </w:r>
      <w:r>
        <w:rPr>
          <w:rFonts w:ascii="仿宋_GB2312" w:eastAsia="仿宋_GB2312" w:hAnsi="黑体"/>
          <w:color w:val="000000"/>
          <w:sz w:val="32"/>
          <w:szCs w:val="32"/>
        </w:rPr>
        <w:t>计算</w:t>
      </w:r>
      <w:r>
        <w:rPr>
          <w:rFonts w:ascii="仿宋_GB2312" w:eastAsia="仿宋_GB2312" w:hAnsi="黑体" w:hint="eastAsia"/>
          <w:color w:val="000000"/>
          <w:sz w:val="32"/>
          <w:szCs w:val="32"/>
        </w:rPr>
        <w:t>公式</w:t>
      </w:r>
      <w:r>
        <w:rPr>
          <w:rFonts w:ascii="仿宋_GB2312" w:eastAsia="仿宋_GB2312" w:hAnsi="黑体"/>
          <w:color w:val="000000"/>
          <w:sz w:val="32"/>
          <w:szCs w:val="32"/>
        </w:rPr>
        <w:t>如下：</w:t>
      </w:r>
    </w:p>
    <w:p w:rsidR="00AA04DA" w:rsidRDefault="0029263A">
      <w:pPr>
        <w:spacing w:line="560" w:lineRule="exact"/>
        <w:ind w:firstLineChars="200" w:firstLine="640"/>
        <w:rPr>
          <w:rFonts w:ascii="仿宋_GB2312" w:eastAsia="仿宋_GB2312" w:hAnsi="黑体"/>
          <w:bCs/>
          <w:color w:val="000000"/>
          <w:sz w:val="32"/>
          <w:szCs w:val="32"/>
        </w:rPr>
      </w:pPr>
      <w:r>
        <w:rPr>
          <w:rFonts w:ascii="仿宋_GB2312" w:eastAsia="仿宋_GB2312" w:hAnsi="黑体" w:hint="eastAsia"/>
          <w:bCs/>
          <w:color w:val="000000"/>
          <w:sz w:val="32"/>
          <w:szCs w:val="32"/>
        </w:rPr>
        <w:t>委托服务费用=∑分段累进资金总额×分档计费费率</w:t>
      </w:r>
    </w:p>
    <w:p w:rsidR="00AA04DA" w:rsidRDefault="0029263A">
      <w:pPr>
        <w:spacing w:line="560" w:lineRule="exact"/>
        <w:jc w:val="center"/>
        <w:rPr>
          <w:rFonts w:asciiTheme="majorEastAsia" w:eastAsiaTheme="majorEastAsia" w:hAnsiTheme="majorEastAsia"/>
          <w:b/>
          <w:bCs/>
          <w:color w:val="000000"/>
          <w:sz w:val="32"/>
          <w:szCs w:val="32"/>
        </w:rPr>
      </w:pPr>
      <w:r>
        <w:rPr>
          <w:rFonts w:asciiTheme="majorEastAsia" w:eastAsiaTheme="majorEastAsia" w:hAnsiTheme="majorEastAsia" w:hint="eastAsia"/>
          <w:b/>
          <w:bCs/>
          <w:color w:val="000000"/>
          <w:sz w:val="32"/>
          <w:szCs w:val="32"/>
        </w:rPr>
        <w:t>项目计费参考标准</w:t>
      </w: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976"/>
        <w:gridCol w:w="3031"/>
      </w:tblGrid>
      <w:tr w:rsidR="00AA04DA">
        <w:trPr>
          <w:trHeight w:val="612"/>
          <w:jc w:val="center"/>
        </w:trPr>
        <w:tc>
          <w:tcPr>
            <w:tcW w:w="2136" w:type="dxa"/>
            <w:vAlign w:val="center"/>
          </w:tcPr>
          <w:p w:rsidR="00AA04DA" w:rsidRDefault="0029263A">
            <w:pPr>
              <w:spacing w:line="300" w:lineRule="exact"/>
              <w:ind w:left="100"/>
              <w:jc w:val="center"/>
              <w:rPr>
                <w:rFonts w:asciiTheme="majorEastAsia" w:eastAsiaTheme="majorEastAsia" w:hAnsiTheme="majorEastAsia"/>
                <w:b/>
                <w:bCs/>
                <w:color w:val="000000"/>
                <w:szCs w:val="21"/>
              </w:rPr>
            </w:pPr>
            <w:r>
              <w:rPr>
                <w:rFonts w:asciiTheme="majorEastAsia" w:eastAsiaTheme="majorEastAsia" w:hAnsiTheme="majorEastAsia" w:hint="eastAsia"/>
                <w:b/>
                <w:bCs/>
                <w:color w:val="000000"/>
                <w:szCs w:val="21"/>
              </w:rPr>
              <w:t>计费依据</w:t>
            </w:r>
          </w:p>
        </w:tc>
        <w:tc>
          <w:tcPr>
            <w:tcW w:w="2976" w:type="dxa"/>
            <w:vAlign w:val="center"/>
          </w:tcPr>
          <w:p w:rsidR="00AA04DA" w:rsidRDefault="0029263A">
            <w:pPr>
              <w:spacing w:line="300" w:lineRule="exact"/>
              <w:ind w:left="100"/>
              <w:jc w:val="center"/>
              <w:rPr>
                <w:rFonts w:asciiTheme="majorEastAsia" w:eastAsiaTheme="majorEastAsia" w:hAnsiTheme="majorEastAsia"/>
                <w:b/>
                <w:bCs/>
                <w:color w:val="000000"/>
                <w:szCs w:val="21"/>
              </w:rPr>
            </w:pPr>
            <w:r>
              <w:rPr>
                <w:rFonts w:asciiTheme="majorEastAsia" w:eastAsiaTheme="majorEastAsia" w:hAnsiTheme="majorEastAsia" w:hint="eastAsia"/>
                <w:b/>
                <w:bCs/>
                <w:color w:val="000000"/>
                <w:szCs w:val="21"/>
              </w:rPr>
              <w:t>分段累进资金总额</w:t>
            </w:r>
          </w:p>
        </w:tc>
        <w:tc>
          <w:tcPr>
            <w:tcW w:w="3031" w:type="dxa"/>
            <w:vAlign w:val="center"/>
          </w:tcPr>
          <w:p w:rsidR="00AA04DA" w:rsidRDefault="0029263A">
            <w:pPr>
              <w:spacing w:line="300" w:lineRule="exact"/>
              <w:ind w:left="100"/>
              <w:jc w:val="center"/>
              <w:rPr>
                <w:rFonts w:asciiTheme="majorEastAsia" w:eastAsiaTheme="majorEastAsia" w:hAnsiTheme="majorEastAsia"/>
                <w:b/>
                <w:bCs/>
                <w:color w:val="000000"/>
                <w:szCs w:val="21"/>
              </w:rPr>
            </w:pPr>
            <w:r>
              <w:rPr>
                <w:rFonts w:asciiTheme="majorEastAsia" w:eastAsiaTheme="majorEastAsia" w:hAnsiTheme="majorEastAsia" w:hint="eastAsia"/>
                <w:b/>
                <w:bCs/>
                <w:color w:val="000000"/>
                <w:szCs w:val="21"/>
              </w:rPr>
              <w:t>分档计费费率</w:t>
            </w:r>
          </w:p>
        </w:tc>
      </w:tr>
      <w:tr w:rsidR="00AA04DA">
        <w:trPr>
          <w:trHeight w:val="570"/>
          <w:jc w:val="center"/>
        </w:trPr>
        <w:tc>
          <w:tcPr>
            <w:tcW w:w="2136" w:type="dxa"/>
            <w:vMerge w:val="restart"/>
            <w:vAlign w:val="center"/>
          </w:tcPr>
          <w:p w:rsidR="00AA04DA" w:rsidRDefault="0029263A">
            <w:pPr>
              <w:spacing w:line="300" w:lineRule="exact"/>
              <w:jc w:val="center"/>
              <w:rPr>
                <w:rFonts w:asciiTheme="majorEastAsia" w:eastAsiaTheme="majorEastAsia" w:hAnsiTheme="majorEastAsia"/>
                <w:b/>
                <w:bCs/>
                <w:color w:val="000000"/>
                <w:szCs w:val="21"/>
              </w:rPr>
            </w:pPr>
            <w:r>
              <w:rPr>
                <w:rFonts w:asciiTheme="majorEastAsia" w:eastAsiaTheme="majorEastAsia" w:hAnsiTheme="majorEastAsia" w:hint="eastAsia"/>
                <w:b/>
                <w:bCs/>
                <w:color w:val="000000"/>
                <w:szCs w:val="21"/>
              </w:rPr>
              <w:t>市本级资金总额</w:t>
            </w:r>
          </w:p>
        </w:tc>
        <w:tc>
          <w:tcPr>
            <w:tcW w:w="2976" w:type="dxa"/>
            <w:vAlign w:val="center"/>
          </w:tcPr>
          <w:p w:rsidR="00AA04DA" w:rsidRDefault="0029263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100万元（含）以下</w:t>
            </w:r>
          </w:p>
        </w:tc>
        <w:tc>
          <w:tcPr>
            <w:tcW w:w="3031" w:type="dxa"/>
            <w:vAlign w:val="center"/>
          </w:tcPr>
          <w:p w:rsidR="00AA04DA" w:rsidRDefault="0029263A">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8‰（起价 5000 元）</w:t>
            </w:r>
          </w:p>
        </w:tc>
      </w:tr>
      <w:tr w:rsidR="00AA04DA">
        <w:trPr>
          <w:trHeight w:val="570"/>
          <w:jc w:val="center"/>
        </w:trPr>
        <w:tc>
          <w:tcPr>
            <w:tcW w:w="2136" w:type="dxa"/>
            <w:vMerge/>
            <w:vAlign w:val="center"/>
          </w:tcPr>
          <w:p w:rsidR="00AA04DA" w:rsidRDefault="00AA04DA">
            <w:pPr>
              <w:spacing w:line="300" w:lineRule="exact"/>
              <w:ind w:left="100"/>
              <w:rPr>
                <w:rFonts w:asciiTheme="majorEastAsia" w:eastAsiaTheme="majorEastAsia" w:hAnsiTheme="majorEastAsia"/>
                <w:bCs/>
                <w:color w:val="000000"/>
                <w:szCs w:val="21"/>
              </w:rPr>
            </w:pPr>
          </w:p>
        </w:tc>
        <w:tc>
          <w:tcPr>
            <w:tcW w:w="2976" w:type="dxa"/>
            <w:vAlign w:val="center"/>
          </w:tcPr>
          <w:p w:rsidR="00AA04DA" w:rsidRDefault="0029263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100-1000万元（含）</w:t>
            </w:r>
          </w:p>
        </w:tc>
        <w:tc>
          <w:tcPr>
            <w:tcW w:w="3031" w:type="dxa"/>
            <w:vAlign w:val="center"/>
          </w:tcPr>
          <w:p w:rsidR="00AA04DA" w:rsidRDefault="0029263A">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r>
      <w:tr w:rsidR="00AA04DA">
        <w:trPr>
          <w:trHeight w:val="570"/>
          <w:jc w:val="center"/>
        </w:trPr>
        <w:tc>
          <w:tcPr>
            <w:tcW w:w="2136" w:type="dxa"/>
            <w:vMerge/>
            <w:vAlign w:val="center"/>
          </w:tcPr>
          <w:p w:rsidR="00AA04DA" w:rsidRDefault="00AA04DA">
            <w:pPr>
              <w:spacing w:line="300" w:lineRule="exact"/>
              <w:ind w:left="100"/>
              <w:rPr>
                <w:rFonts w:asciiTheme="majorEastAsia" w:eastAsiaTheme="majorEastAsia" w:hAnsiTheme="majorEastAsia"/>
                <w:bCs/>
                <w:color w:val="000000"/>
                <w:szCs w:val="21"/>
              </w:rPr>
            </w:pPr>
          </w:p>
        </w:tc>
        <w:tc>
          <w:tcPr>
            <w:tcW w:w="2976" w:type="dxa"/>
            <w:vAlign w:val="center"/>
          </w:tcPr>
          <w:p w:rsidR="00AA04DA" w:rsidRDefault="0029263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1000-5000万元（含）</w:t>
            </w:r>
          </w:p>
        </w:tc>
        <w:tc>
          <w:tcPr>
            <w:tcW w:w="3031" w:type="dxa"/>
            <w:vAlign w:val="center"/>
          </w:tcPr>
          <w:p w:rsidR="00AA04DA" w:rsidRDefault="0029263A">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1.3‰</w:t>
            </w:r>
          </w:p>
        </w:tc>
      </w:tr>
      <w:tr w:rsidR="00AA04DA">
        <w:trPr>
          <w:trHeight w:val="570"/>
          <w:jc w:val="center"/>
        </w:trPr>
        <w:tc>
          <w:tcPr>
            <w:tcW w:w="2136" w:type="dxa"/>
            <w:vMerge/>
            <w:vAlign w:val="center"/>
          </w:tcPr>
          <w:p w:rsidR="00AA04DA" w:rsidRDefault="00AA04DA">
            <w:pPr>
              <w:spacing w:line="300" w:lineRule="exact"/>
              <w:ind w:left="100"/>
              <w:rPr>
                <w:rFonts w:asciiTheme="majorEastAsia" w:eastAsiaTheme="majorEastAsia" w:hAnsiTheme="majorEastAsia"/>
                <w:bCs/>
                <w:color w:val="000000"/>
                <w:szCs w:val="21"/>
              </w:rPr>
            </w:pPr>
          </w:p>
        </w:tc>
        <w:tc>
          <w:tcPr>
            <w:tcW w:w="2976" w:type="dxa"/>
            <w:vAlign w:val="center"/>
          </w:tcPr>
          <w:p w:rsidR="00AA04DA" w:rsidRDefault="0029263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5000-10000万元（含）</w:t>
            </w:r>
          </w:p>
        </w:tc>
        <w:tc>
          <w:tcPr>
            <w:tcW w:w="3031" w:type="dxa"/>
            <w:vAlign w:val="center"/>
          </w:tcPr>
          <w:p w:rsidR="00AA04DA" w:rsidRDefault="0029263A">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0.6‰</w:t>
            </w:r>
          </w:p>
        </w:tc>
      </w:tr>
      <w:tr w:rsidR="00AA04DA">
        <w:trPr>
          <w:trHeight w:val="570"/>
          <w:jc w:val="center"/>
        </w:trPr>
        <w:tc>
          <w:tcPr>
            <w:tcW w:w="2136" w:type="dxa"/>
            <w:vMerge/>
            <w:vAlign w:val="center"/>
          </w:tcPr>
          <w:p w:rsidR="00AA04DA" w:rsidRDefault="00AA04DA">
            <w:pPr>
              <w:spacing w:line="300" w:lineRule="exact"/>
              <w:ind w:left="100"/>
              <w:rPr>
                <w:rFonts w:asciiTheme="majorEastAsia" w:eastAsiaTheme="majorEastAsia" w:hAnsiTheme="majorEastAsia"/>
                <w:bCs/>
                <w:color w:val="000000"/>
                <w:szCs w:val="21"/>
              </w:rPr>
            </w:pPr>
          </w:p>
        </w:tc>
        <w:tc>
          <w:tcPr>
            <w:tcW w:w="2976" w:type="dxa"/>
            <w:vAlign w:val="center"/>
          </w:tcPr>
          <w:p w:rsidR="00AA04DA" w:rsidRDefault="0029263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10000万元-30000万元（含）</w:t>
            </w:r>
          </w:p>
        </w:tc>
        <w:tc>
          <w:tcPr>
            <w:tcW w:w="3031" w:type="dxa"/>
            <w:vAlign w:val="center"/>
          </w:tcPr>
          <w:p w:rsidR="00AA04DA" w:rsidRDefault="0029263A">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0.2‰</w:t>
            </w:r>
          </w:p>
        </w:tc>
      </w:tr>
      <w:tr w:rsidR="00AA04DA">
        <w:trPr>
          <w:trHeight w:val="570"/>
          <w:jc w:val="center"/>
        </w:trPr>
        <w:tc>
          <w:tcPr>
            <w:tcW w:w="2136" w:type="dxa"/>
            <w:vMerge/>
            <w:vAlign w:val="center"/>
          </w:tcPr>
          <w:p w:rsidR="00AA04DA" w:rsidRDefault="00AA04DA">
            <w:pPr>
              <w:spacing w:line="300" w:lineRule="exact"/>
              <w:ind w:left="100"/>
              <w:rPr>
                <w:rFonts w:asciiTheme="majorEastAsia" w:eastAsiaTheme="majorEastAsia" w:hAnsiTheme="majorEastAsia"/>
                <w:bCs/>
                <w:color w:val="000000"/>
                <w:szCs w:val="21"/>
              </w:rPr>
            </w:pPr>
          </w:p>
        </w:tc>
        <w:tc>
          <w:tcPr>
            <w:tcW w:w="2976" w:type="dxa"/>
            <w:vAlign w:val="center"/>
          </w:tcPr>
          <w:p w:rsidR="00AA04DA" w:rsidRDefault="0029263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30000万元以上</w:t>
            </w:r>
          </w:p>
        </w:tc>
        <w:tc>
          <w:tcPr>
            <w:tcW w:w="3031" w:type="dxa"/>
            <w:vAlign w:val="center"/>
          </w:tcPr>
          <w:p w:rsidR="00AA04DA" w:rsidRDefault="0029263A">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0.1‰</w:t>
            </w:r>
          </w:p>
        </w:tc>
      </w:tr>
    </w:tbl>
    <w:p w:rsidR="00AA04DA" w:rsidRDefault="00AA04DA">
      <w:pPr>
        <w:spacing w:line="560" w:lineRule="exact"/>
        <w:rPr>
          <w:rFonts w:ascii="FZS3JW--GB1-0" w:eastAsia="黑体" w:hAnsi="FZS3JW--GB1-0" w:hint="eastAsia"/>
          <w:color w:val="000000"/>
          <w:sz w:val="22"/>
        </w:rPr>
      </w:pPr>
    </w:p>
    <w:p w:rsidR="00AA04DA" w:rsidRDefault="0029263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二、计时计费法计费标准</w:t>
      </w:r>
    </w:p>
    <w:p w:rsidR="00AA04DA" w:rsidRDefault="0029263A">
      <w:pPr>
        <w:spacing w:line="56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对于抽调第三方机构人员参与的预算绩效管理工作，原则上实行</w:t>
      </w:r>
      <w:r>
        <w:rPr>
          <w:rFonts w:ascii="仿宋_GB2312" w:eastAsia="仿宋_GB2312" w:hAnsi="黑体"/>
          <w:color w:val="000000"/>
          <w:sz w:val="32"/>
          <w:szCs w:val="32"/>
        </w:rPr>
        <w:t>计时计费法</w:t>
      </w:r>
      <w:r>
        <w:rPr>
          <w:rFonts w:ascii="仿宋_GB2312" w:eastAsia="仿宋_GB2312" w:hAnsi="黑体" w:hint="eastAsia"/>
          <w:color w:val="000000"/>
          <w:sz w:val="32"/>
          <w:szCs w:val="32"/>
        </w:rPr>
        <w:t>，可按照参加预算绩效管理相关工作所</w:t>
      </w:r>
      <w:r>
        <w:rPr>
          <w:rFonts w:ascii="仿宋_GB2312" w:eastAsia="仿宋_GB2312" w:hAnsi="黑体" w:hint="eastAsia"/>
          <w:color w:val="000000"/>
          <w:sz w:val="32"/>
          <w:szCs w:val="32"/>
        </w:rPr>
        <w:lastRenderedPageBreak/>
        <w:t>需人日数和每个工作人日收费标准支付费用。工作人日数根据预算绩效管理服务的工作量确定；每个工作人日收费标准根据参与预算绩效管理工作人员专业技能水平确定。</w:t>
      </w:r>
    </w:p>
    <w:p w:rsidR="00AA04DA" w:rsidRDefault="0029263A">
      <w:pPr>
        <w:spacing w:line="56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工作人日收费标准：参考专家劳务费的标准，注册会计师、注册资产评估师、注册造价工程师、高级及以上专业技术职务人员：800元／天／人；中级及以下专业技术职务人员：400元／天／人。第三方机构开展预算绩效管理相关工作时发生的差旅费可另行计算。</w:t>
      </w:r>
    </w:p>
    <w:p w:rsidR="00AA04DA" w:rsidRDefault="0029263A">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三、成本核算法计费标准</w:t>
      </w:r>
    </w:p>
    <w:p w:rsidR="00AA04DA" w:rsidRDefault="0029263A">
      <w:pPr>
        <w:spacing w:line="56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对于</w:t>
      </w:r>
      <w:r>
        <w:rPr>
          <w:rFonts w:ascii="仿宋_GB2312" w:eastAsia="仿宋_GB2312" w:hint="eastAsia"/>
          <w:sz w:val="32"/>
          <w:szCs w:val="32"/>
        </w:rPr>
        <w:t>资金规模大但工作难度小、因不可抗力或其他因素未完成评价工作但确需支付费用的特殊项目，原则上可实行成本核算法。</w:t>
      </w:r>
      <w:r>
        <w:rPr>
          <w:rFonts w:ascii="仿宋_GB2312" w:eastAsia="仿宋_GB2312" w:hAnsi="黑体" w:hint="eastAsia"/>
          <w:color w:val="000000"/>
          <w:sz w:val="32"/>
          <w:szCs w:val="32"/>
        </w:rPr>
        <w:t>按照委托第三方机构提供服务工作的实际工作量，综合考虑地域分布、行业特点、难易程度等因素，根据实际发生的费用（包括基本费用、现场评价阶段费用、税费及合理利润等其他费用）计算核定。详见下表。</w:t>
      </w:r>
    </w:p>
    <w:p w:rsidR="00AA04DA" w:rsidRDefault="000F1C7F">
      <w:pPr>
        <w:spacing w:line="560" w:lineRule="exact"/>
        <w:ind w:firstLineChars="200" w:firstLine="640"/>
        <w:rPr>
          <w:rFonts w:ascii="仿宋_GB2312" w:eastAsia="仿宋_GB2312" w:hAnsi="黑体"/>
          <w:color w:val="000000"/>
          <w:sz w:val="32"/>
          <w:szCs w:val="32"/>
        </w:rPr>
      </w:pPr>
      <w:r>
        <w:rPr>
          <w:rFonts w:ascii="楷体_GB2312" w:eastAsia="楷体_GB2312" w:hAnsi="黑体" w:hint="eastAsia"/>
          <w:color w:val="000000"/>
          <w:sz w:val="32"/>
          <w:szCs w:val="32"/>
        </w:rPr>
        <w:t>（一）测算因素：</w:t>
      </w:r>
      <w:r w:rsidR="0029263A">
        <w:rPr>
          <w:rFonts w:ascii="仿宋_GB2312" w:eastAsia="仿宋_GB2312" w:hAnsi="黑体" w:hint="eastAsia"/>
          <w:color w:val="000000"/>
          <w:sz w:val="32"/>
          <w:szCs w:val="32"/>
        </w:rPr>
        <w:t>基本费用、现场评价阶段费用、税费及合理利润等其他费用。</w:t>
      </w:r>
    </w:p>
    <w:p w:rsidR="00AA04DA" w:rsidRDefault="0029263A">
      <w:pPr>
        <w:spacing w:line="560" w:lineRule="exact"/>
        <w:ind w:firstLineChars="200" w:firstLine="640"/>
        <w:rPr>
          <w:rFonts w:ascii="仿宋_GB2312" w:eastAsia="仿宋_GB2312" w:hAnsi="黑体"/>
          <w:color w:val="000000"/>
          <w:sz w:val="32"/>
          <w:szCs w:val="32"/>
        </w:rPr>
      </w:pPr>
      <w:r>
        <w:rPr>
          <w:rFonts w:ascii="楷体_GB2312" w:eastAsia="楷体_GB2312" w:hAnsi="黑体" w:hint="eastAsia"/>
          <w:color w:val="000000"/>
          <w:sz w:val="32"/>
          <w:szCs w:val="32"/>
        </w:rPr>
        <w:t>（二）计算公式：</w:t>
      </w:r>
      <w:r>
        <w:rPr>
          <w:rFonts w:ascii="仿宋_GB2312" w:eastAsia="仿宋_GB2312" w:hAnsi="黑体" w:hint="eastAsia"/>
          <w:color w:val="000000"/>
          <w:sz w:val="32"/>
          <w:szCs w:val="32"/>
        </w:rPr>
        <w:t>委托服务费用=基本费用+现场评价阶段费用+其他费用</w:t>
      </w:r>
    </w:p>
    <w:p w:rsidR="00AA04DA" w:rsidRDefault="0029263A">
      <w:pPr>
        <w:spacing w:line="56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如果存在特殊情况，可通过“特殊因素调整情况”增加或减少委托服务费用。</w:t>
      </w:r>
      <w:bookmarkStart w:id="0" w:name="_GoBack"/>
      <w:bookmarkEnd w:id="0"/>
    </w:p>
    <w:p w:rsidR="00AA04DA" w:rsidRDefault="0029263A">
      <w:pPr>
        <w:spacing w:line="560" w:lineRule="exact"/>
        <w:jc w:val="center"/>
        <w:rPr>
          <w:rFonts w:ascii="仿宋_GB2312" w:eastAsia="仿宋_GB2312" w:hAnsi="黑体"/>
          <w:color w:val="000000"/>
          <w:sz w:val="32"/>
          <w:szCs w:val="32"/>
        </w:rPr>
      </w:pPr>
      <w:r>
        <w:rPr>
          <w:rFonts w:ascii="黑体" w:eastAsia="黑体" w:hAnsi="黑体" w:hint="eastAsia"/>
          <w:color w:val="000000"/>
          <w:sz w:val="32"/>
          <w:szCs w:val="32"/>
        </w:rPr>
        <w:t>成本核算参考标准</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2267"/>
      </w:tblGrid>
      <w:tr w:rsidR="00AA04DA">
        <w:trPr>
          <w:trHeight w:val="398"/>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费用</w:t>
            </w:r>
            <w:r>
              <w:rPr>
                <w:rFonts w:asciiTheme="majorEastAsia" w:eastAsiaTheme="majorEastAsia" w:hAnsiTheme="majorEastAsia"/>
                <w:b/>
                <w:color w:val="000000"/>
                <w:szCs w:val="21"/>
              </w:rPr>
              <w:t>名称</w:t>
            </w:r>
          </w:p>
        </w:tc>
        <w:tc>
          <w:tcPr>
            <w:tcW w:w="2267"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金额</w:t>
            </w:r>
            <w:r>
              <w:rPr>
                <w:rFonts w:asciiTheme="majorEastAsia" w:eastAsiaTheme="majorEastAsia" w:hAnsiTheme="majorEastAsia"/>
                <w:b/>
                <w:color w:val="000000"/>
                <w:szCs w:val="21"/>
              </w:rPr>
              <w:t>（</w:t>
            </w:r>
            <w:r>
              <w:rPr>
                <w:rFonts w:asciiTheme="majorEastAsia" w:eastAsiaTheme="majorEastAsia" w:hAnsiTheme="majorEastAsia" w:hint="eastAsia"/>
                <w:b/>
                <w:color w:val="000000"/>
                <w:szCs w:val="21"/>
              </w:rPr>
              <w:t>元</w:t>
            </w:r>
            <w:r>
              <w:rPr>
                <w:rFonts w:asciiTheme="majorEastAsia" w:eastAsiaTheme="majorEastAsia" w:hAnsiTheme="majorEastAsia"/>
                <w:b/>
                <w:color w:val="000000"/>
                <w:szCs w:val="21"/>
              </w:rPr>
              <w:t>）</w:t>
            </w:r>
          </w:p>
        </w:tc>
      </w:tr>
      <w:tr w:rsidR="00AA04DA">
        <w:trPr>
          <w:trHeight w:val="354"/>
          <w:jc w:val="center"/>
        </w:trPr>
        <w:tc>
          <w:tcPr>
            <w:tcW w:w="5990" w:type="dxa"/>
            <w:vAlign w:val="center"/>
          </w:tcPr>
          <w:p w:rsidR="00AA04DA" w:rsidRDefault="0029263A">
            <w:pPr>
              <w:spacing w:line="300" w:lineRule="exact"/>
              <w:rPr>
                <w:rFonts w:asciiTheme="majorEastAsia" w:eastAsiaTheme="majorEastAsia" w:hAnsiTheme="majorEastAsia"/>
                <w:b/>
                <w:szCs w:val="21"/>
              </w:rPr>
            </w:pPr>
            <w:r>
              <w:rPr>
                <w:rFonts w:asciiTheme="majorEastAsia" w:eastAsiaTheme="majorEastAsia" w:hAnsiTheme="majorEastAsia"/>
                <w:b/>
                <w:color w:val="000000"/>
                <w:szCs w:val="21"/>
              </w:rPr>
              <w:t>一、基本费用</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97"/>
          <w:jc w:val="center"/>
        </w:trPr>
        <w:tc>
          <w:tcPr>
            <w:tcW w:w="5990" w:type="dxa"/>
            <w:vAlign w:val="center"/>
          </w:tcPr>
          <w:p w:rsidR="00AA04DA" w:rsidRDefault="0029263A">
            <w:pPr>
              <w:spacing w:line="300" w:lineRule="exact"/>
              <w:rPr>
                <w:rFonts w:asciiTheme="majorEastAsia" w:eastAsiaTheme="majorEastAsia" w:hAnsiTheme="majorEastAsia"/>
                <w:b/>
                <w:szCs w:val="21"/>
              </w:rPr>
            </w:pPr>
            <w:r>
              <w:rPr>
                <w:rFonts w:asciiTheme="majorEastAsia" w:eastAsiaTheme="majorEastAsia" w:hAnsiTheme="majorEastAsia"/>
                <w:b/>
                <w:color w:val="000000"/>
                <w:szCs w:val="21"/>
              </w:rPr>
              <w:t>（一）制定评价方案、完善细化评价指标体系等前期费用</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19"/>
          <w:jc w:val="center"/>
        </w:trPr>
        <w:tc>
          <w:tcPr>
            <w:tcW w:w="5990" w:type="dxa"/>
            <w:vAlign w:val="center"/>
          </w:tcPr>
          <w:p w:rsidR="00AA04DA" w:rsidRDefault="0029263A">
            <w:pPr>
              <w:spacing w:line="300" w:lineRule="exact"/>
              <w:rPr>
                <w:rFonts w:asciiTheme="majorEastAsia" w:eastAsiaTheme="majorEastAsia" w:hAnsiTheme="majorEastAsia"/>
                <w:b/>
                <w:szCs w:val="21"/>
              </w:rPr>
            </w:pPr>
            <w:r>
              <w:rPr>
                <w:rFonts w:asciiTheme="majorEastAsia" w:eastAsiaTheme="majorEastAsia" w:hAnsiTheme="majorEastAsia"/>
                <w:b/>
                <w:color w:val="000000"/>
                <w:szCs w:val="21"/>
              </w:rPr>
              <w:lastRenderedPageBreak/>
              <w:t>（二）汇总分析及撰写评价报告费用</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11"/>
          <w:jc w:val="center"/>
        </w:trPr>
        <w:tc>
          <w:tcPr>
            <w:tcW w:w="5990" w:type="dxa"/>
            <w:vAlign w:val="center"/>
          </w:tcPr>
          <w:p w:rsidR="00AA04DA" w:rsidRDefault="0029263A">
            <w:pPr>
              <w:spacing w:line="300" w:lineRule="exact"/>
              <w:rPr>
                <w:rFonts w:asciiTheme="majorEastAsia" w:eastAsiaTheme="majorEastAsia" w:hAnsiTheme="majorEastAsia"/>
                <w:b/>
                <w:szCs w:val="21"/>
              </w:rPr>
            </w:pPr>
            <w:r>
              <w:rPr>
                <w:rFonts w:asciiTheme="majorEastAsia" w:eastAsiaTheme="majorEastAsia" w:hAnsiTheme="majorEastAsia"/>
                <w:b/>
                <w:color w:val="000000"/>
                <w:szCs w:val="21"/>
              </w:rPr>
              <w:t>（三）外聘专家费（含食宿）</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17"/>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二、现场评价阶段费用</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365"/>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（一）项目费用</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70"/>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1.交通费</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07"/>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2.食宿费</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13"/>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18"/>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（二）人员费用</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25"/>
          <w:jc w:val="center"/>
        </w:trPr>
        <w:tc>
          <w:tcPr>
            <w:tcW w:w="5990" w:type="dxa"/>
            <w:vAlign w:val="center"/>
          </w:tcPr>
          <w:p w:rsidR="00AA04DA" w:rsidRDefault="0029263A">
            <w:pPr>
              <w:tabs>
                <w:tab w:val="left" w:pos="720"/>
              </w:tabs>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 xml:space="preserve">1.中级职称以上人员劳务费： </w:t>
            </w:r>
            <w:r>
              <w:rPr>
                <w:rFonts w:asciiTheme="majorEastAsia" w:eastAsiaTheme="majorEastAsia" w:hAnsiTheme="majorEastAsia"/>
                <w:b/>
                <w:color w:val="000000"/>
                <w:szCs w:val="21"/>
              </w:rPr>
              <w:t xml:space="preserve"> </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03"/>
          <w:jc w:val="center"/>
        </w:trPr>
        <w:tc>
          <w:tcPr>
            <w:tcW w:w="5990" w:type="dxa"/>
            <w:vAlign w:val="center"/>
          </w:tcPr>
          <w:p w:rsidR="00AA04DA" w:rsidRDefault="0029263A">
            <w:pPr>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2.中级职称及以下人员劳务费：</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09"/>
          <w:jc w:val="center"/>
        </w:trPr>
        <w:tc>
          <w:tcPr>
            <w:tcW w:w="5990" w:type="dxa"/>
            <w:vAlign w:val="center"/>
          </w:tcPr>
          <w:p w:rsidR="00AA04DA" w:rsidRDefault="0029263A">
            <w:pPr>
              <w:tabs>
                <w:tab w:val="left" w:pos="720"/>
              </w:tabs>
              <w:spacing w:line="300" w:lineRule="exact"/>
              <w:rPr>
                <w:rFonts w:asciiTheme="majorEastAsia" w:eastAsiaTheme="majorEastAsia" w:hAnsiTheme="majorEastAsia"/>
                <w:b/>
                <w:color w:val="000000"/>
                <w:szCs w:val="21"/>
              </w:rPr>
            </w:pPr>
            <w:r>
              <w:rPr>
                <w:rFonts w:asciiTheme="majorEastAsia" w:eastAsiaTheme="majorEastAsia" w:hAnsiTheme="majorEastAsia"/>
                <w:b/>
                <w:color w:val="000000"/>
                <w:szCs w:val="21"/>
              </w:rPr>
              <w:t>三、其他费用</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28"/>
          <w:jc w:val="center"/>
        </w:trPr>
        <w:tc>
          <w:tcPr>
            <w:tcW w:w="5990" w:type="dxa"/>
            <w:vAlign w:val="center"/>
          </w:tcPr>
          <w:p w:rsidR="00AA04DA" w:rsidRDefault="0029263A">
            <w:pPr>
              <w:tabs>
                <w:tab w:val="left" w:pos="720"/>
              </w:tabs>
              <w:spacing w:line="300" w:lineRule="exact"/>
              <w:rPr>
                <w:rFonts w:asciiTheme="majorEastAsia" w:eastAsiaTheme="majorEastAsia" w:hAnsiTheme="majorEastAsia"/>
                <w:b/>
                <w:color w:val="000000"/>
                <w:szCs w:val="21"/>
              </w:rPr>
            </w:pPr>
            <w:r>
              <w:rPr>
                <w:rFonts w:asciiTheme="majorEastAsia" w:eastAsiaTheme="majorEastAsia" w:hAnsiTheme="majorEastAsia"/>
                <w:b/>
                <w:color w:val="000000"/>
                <w:szCs w:val="21"/>
              </w:rPr>
              <w:t>税费（6%）</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548"/>
          <w:jc w:val="center"/>
        </w:trPr>
        <w:tc>
          <w:tcPr>
            <w:tcW w:w="5990" w:type="dxa"/>
            <w:vAlign w:val="center"/>
          </w:tcPr>
          <w:p w:rsidR="00AA04DA" w:rsidRDefault="0029263A">
            <w:pPr>
              <w:tabs>
                <w:tab w:val="left" w:pos="720"/>
              </w:tabs>
              <w:spacing w:line="300" w:lineRule="exact"/>
              <w:rPr>
                <w:rFonts w:asciiTheme="majorEastAsia" w:eastAsiaTheme="majorEastAsia" w:hAnsiTheme="majorEastAsia"/>
                <w:b/>
                <w:color w:val="000000"/>
                <w:szCs w:val="21"/>
              </w:rPr>
            </w:pPr>
            <w:r>
              <w:rPr>
                <w:rFonts w:asciiTheme="majorEastAsia" w:eastAsiaTheme="majorEastAsia" w:hAnsiTheme="majorEastAsia"/>
                <w:b/>
                <w:color w:val="000000"/>
                <w:szCs w:val="21"/>
              </w:rPr>
              <w:t>合理利润（10%）</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14"/>
          <w:jc w:val="center"/>
        </w:trPr>
        <w:tc>
          <w:tcPr>
            <w:tcW w:w="5990" w:type="dxa"/>
            <w:vAlign w:val="center"/>
          </w:tcPr>
          <w:p w:rsidR="00AA04DA" w:rsidRDefault="0029263A">
            <w:pPr>
              <w:tabs>
                <w:tab w:val="left" w:pos="720"/>
              </w:tabs>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421"/>
          <w:jc w:val="center"/>
        </w:trPr>
        <w:tc>
          <w:tcPr>
            <w:tcW w:w="5990" w:type="dxa"/>
            <w:vAlign w:val="center"/>
          </w:tcPr>
          <w:p w:rsidR="00AA04DA" w:rsidRDefault="0029263A">
            <w:pPr>
              <w:tabs>
                <w:tab w:val="left" w:pos="720"/>
              </w:tabs>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四、小计</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trPr>
          <w:trHeight w:val="555"/>
          <w:jc w:val="center"/>
        </w:trPr>
        <w:tc>
          <w:tcPr>
            <w:tcW w:w="5990" w:type="dxa"/>
            <w:vAlign w:val="center"/>
          </w:tcPr>
          <w:p w:rsidR="00AA04DA" w:rsidRDefault="0029263A">
            <w:pPr>
              <w:tabs>
                <w:tab w:val="left" w:pos="720"/>
              </w:tabs>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五、特殊因素调整情况</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r w:rsidR="00AA04DA" w:rsidTr="000F1C7F">
        <w:trPr>
          <w:trHeight w:val="416"/>
          <w:jc w:val="center"/>
        </w:trPr>
        <w:tc>
          <w:tcPr>
            <w:tcW w:w="5990" w:type="dxa"/>
            <w:vAlign w:val="center"/>
          </w:tcPr>
          <w:p w:rsidR="00AA04DA" w:rsidRDefault="0029263A">
            <w:pPr>
              <w:tabs>
                <w:tab w:val="left" w:pos="1869"/>
                <w:tab w:val="left" w:pos="1946"/>
              </w:tabs>
              <w:spacing w:line="30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合           计</w:t>
            </w:r>
          </w:p>
        </w:tc>
        <w:tc>
          <w:tcPr>
            <w:tcW w:w="2267" w:type="dxa"/>
            <w:vAlign w:val="center"/>
          </w:tcPr>
          <w:p w:rsidR="00AA04DA" w:rsidRDefault="00AA04DA">
            <w:pPr>
              <w:spacing w:line="300" w:lineRule="exact"/>
              <w:rPr>
                <w:rFonts w:asciiTheme="majorEastAsia" w:eastAsiaTheme="majorEastAsia" w:hAnsiTheme="majorEastAsia"/>
                <w:b/>
                <w:color w:val="000000"/>
                <w:szCs w:val="21"/>
              </w:rPr>
            </w:pPr>
          </w:p>
        </w:tc>
      </w:tr>
    </w:tbl>
    <w:p w:rsidR="00AA04DA" w:rsidRDefault="00AA04DA">
      <w:pPr>
        <w:spacing w:line="560" w:lineRule="exact"/>
        <w:ind w:firstLineChars="200" w:firstLine="560"/>
        <w:rPr>
          <w:rFonts w:ascii="仿宋_GB2312" w:eastAsia="仿宋_GB2312" w:hAnsi="黑体"/>
          <w:color w:val="000000"/>
          <w:sz w:val="28"/>
          <w:szCs w:val="28"/>
        </w:rPr>
      </w:pPr>
    </w:p>
    <w:sectPr w:rsidR="00AA04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63A" w:rsidRDefault="0029263A" w:rsidP="0029263A">
      <w:r>
        <w:separator/>
      </w:r>
    </w:p>
  </w:endnote>
  <w:endnote w:type="continuationSeparator" w:id="0">
    <w:p w:rsidR="0029263A" w:rsidRDefault="0029263A" w:rsidP="0029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XBSJW--GB1-0">
    <w:altName w:val="Times New Roman"/>
    <w:charset w:val="00"/>
    <w:family w:val="roman"/>
    <w:pitch w:val="default"/>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FZS3JW--GB1-0">
    <w:altName w:val="Times New Roman"/>
    <w:charset w:val="00"/>
    <w:family w:val="roman"/>
    <w:pitch w:val="default"/>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63A" w:rsidRDefault="0029263A" w:rsidP="0029263A">
      <w:r>
        <w:separator/>
      </w:r>
    </w:p>
  </w:footnote>
  <w:footnote w:type="continuationSeparator" w:id="0">
    <w:p w:rsidR="0029263A" w:rsidRDefault="0029263A" w:rsidP="00292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5C1E"/>
    <w:rsid w:val="00005575"/>
    <w:rsid w:val="000E01ED"/>
    <w:rsid w:val="000F1C7F"/>
    <w:rsid w:val="00143954"/>
    <w:rsid w:val="0029263A"/>
    <w:rsid w:val="00413B0D"/>
    <w:rsid w:val="004672EB"/>
    <w:rsid w:val="005103E9"/>
    <w:rsid w:val="00765AE0"/>
    <w:rsid w:val="007C7DEA"/>
    <w:rsid w:val="008877D8"/>
    <w:rsid w:val="00974ACB"/>
    <w:rsid w:val="009D7605"/>
    <w:rsid w:val="00A826E9"/>
    <w:rsid w:val="00AA04DA"/>
    <w:rsid w:val="00D15C1E"/>
    <w:rsid w:val="00D53ADE"/>
    <w:rsid w:val="00E161A0"/>
    <w:rsid w:val="00F87B0B"/>
    <w:rsid w:val="08730E17"/>
    <w:rsid w:val="0A530BC8"/>
    <w:rsid w:val="2ACD4A62"/>
    <w:rsid w:val="3D1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986984C-2940-4BA8-88D5-9BA895C7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29263A"/>
    <w:rPr>
      <w:sz w:val="18"/>
      <w:szCs w:val="18"/>
    </w:rPr>
  </w:style>
  <w:style w:type="character" w:customStyle="1" w:styleId="Char1">
    <w:name w:val="批注框文本 Char"/>
    <w:basedOn w:val="a0"/>
    <w:link w:val="a5"/>
    <w:uiPriority w:val="99"/>
    <w:semiHidden/>
    <w:rsid w:val="00292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dc:creator>
  <cp:lastModifiedBy>a</cp:lastModifiedBy>
  <cp:revision>6</cp:revision>
  <cp:lastPrinted>2020-07-07T02:09:00Z</cp:lastPrinted>
  <dcterms:created xsi:type="dcterms:W3CDTF">2020-06-23T06:20:00Z</dcterms:created>
  <dcterms:modified xsi:type="dcterms:W3CDTF">2020-07-08T00:48:00Z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